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宋体"/>
          <w:color w:val="000000"/>
          <w:kern w:val="0"/>
          <w:sz w:val="40"/>
          <w:szCs w:val="40"/>
          <w:highlight w:val="none"/>
          <w:lang w:eastAsia="zh-CN"/>
        </w:rPr>
      </w:pPr>
      <w:r>
        <w:rPr>
          <w:rFonts w:hint="eastAsia" w:ascii="方正小标宋简体" w:hAnsi="宋体" w:eastAsia="方正小标宋简体" w:cs="宋体"/>
          <w:color w:val="000000"/>
          <w:kern w:val="0"/>
          <w:sz w:val="40"/>
          <w:szCs w:val="40"/>
          <w:highlight w:val="none"/>
          <w:lang w:eastAsia="zh-CN"/>
        </w:rPr>
        <w:t>国务院办公厅关于完善</w:t>
      </w:r>
      <w:r>
        <w:rPr>
          <w:rFonts w:hint="eastAsia" w:ascii="方正小标宋简体" w:hAnsi="宋体" w:eastAsia="方正小标宋简体" w:cs="宋体"/>
          <w:color w:val="000000"/>
          <w:kern w:val="0"/>
          <w:sz w:val="40"/>
          <w:szCs w:val="40"/>
          <w:highlight w:val="none"/>
          <w:lang w:eastAsia="zh-CN"/>
        </w:rPr>
        <w:fldChar w:fldCharType="begin"/>
      </w:r>
      <w:r>
        <w:rPr>
          <w:rFonts w:hint="eastAsia" w:ascii="方正小标宋简体" w:hAnsi="宋体" w:eastAsia="方正小标宋简体" w:cs="宋体"/>
          <w:color w:val="000000"/>
          <w:kern w:val="0"/>
          <w:sz w:val="40"/>
          <w:szCs w:val="40"/>
          <w:highlight w:val="none"/>
          <w:lang w:eastAsia="zh-CN"/>
        </w:rPr>
        <w:instrText xml:space="preserve"> HYPERLINK "http://www.agilecentury.com/" \t "http://www.agilecentury.com/_blank" </w:instrText>
      </w:r>
      <w:r>
        <w:rPr>
          <w:rFonts w:hint="eastAsia" w:ascii="方正小标宋简体" w:hAnsi="宋体" w:eastAsia="方正小标宋简体" w:cs="宋体"/>
          <w:color w:val="000000"/>
          <w:kern w:val="0"/>
          <w:sz w:val="40"/>
          <w:szCs w:val="40"/>
          <w:highlight w:val="none"/>
          <w:lang w:eastAsia="zh-CN"/>
        </w:rPr>
        <w:fldChar w:fldCharType="separate"/>
      </w:r>
      <w:r>
        <w:rPr>
          <w:rFonts w:hint="eastAsia" w:ascii="方正小标宋简体" w:hAnsi="宋体" w:eastAsia="方正小标宋简体" w:cs="宋体"/>
          <w:color w:val="000000"/>
          <w:kern w:val="0"/>
          <w:sz w:val="40"/>
          <w:szCs w:val="40"/>
          <w:highlight w:val="none"/>
          <w:lang w:eastAsia="zh-CN"/>
        </w:rPr>
        <w:t>反洗钱</w:t>
      </w:r>
      <w:r>
        <w:rPr>
          <w:rFonts w:hint="eastAsia" w:ascii="方正小标宋简体" w:hAnsi="宋体" w:eastAsia="方正小标宋简体" w:cs="宋体"/>
          <w:color w:val="000000"/>
          <w:kern w:val="0"/>
          <w:sz w:val="40"/>
          <w:szCs w:val="40"/>
          <w:highlight w:val="none"/>
          <w:lang w:eastAsia="zh-CN"/>
        </w:rPr>
        <w:fldChar w:fldCharType="end"/>
      </w:r>
      <w:r>
        <w:rPr>
          <w:rFonts w:hint="eastAsia" w:ascii="方正小标宋简体" w:hAnsi="宋体" w:eastAsia="方正小标宋简体" w:cs="宋体"/>
          <w:color w:val="000000"/>
          <w:kern w:val="0"/>
          <w:sz w:val="40"/>
          <w:szCs w:val="40"/>
          <w:highlight w:val="none"/>
          <w:lang w:eastAsia="zh-CN"/>
        </w:rPr>
        <w:t>、反恐怖融资、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宋体"/>
          <w:color w:val="000000"/>
          <w:kern w:val="0"/>
          <w:sz w:val="40"/>
          <w:szCs w:val="40"/>
          <w:highlight w:val="none"/>
          <w:lang w:eastAsia="zh-CN"/>
        </w:rPr>
      </w:pPr>
      <w:r>
        <w:rPr>
          <w:rFonts w:hint="eastAsia" w:ascii="方正小标宋简体" w:hAnsi="宋体" w:eastAsia="方正小标宋简体" w:cs="宋体"/>
          <w:color w:val="000000"/>
          <w:kern w:val="0"/>
          <w:sz w:val="40"/>
          <w:szCs w:val="40"/>
          <w:highlight w:val="none"/>
          <w:lang w:eastAsia="zh-CN"/>
        </w:rPr>
        <w:t>反逃税监管体制机制的意见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caps w:val="0"/>
          <w:color w:val="777777"/>
          <w:spacing w:val="0"/>
          <w:sz w:val="21"/>
          <w:szCs w:val="21"/>
        </w:rPr>
      </w:pPr>
      <w:r>
        <w:rPr>
          <w:rFonts w:ascii="楷体" w:hAnsi="楷体" w:eastAsia="楷体" w:cs="楷体"/>
          <w:i w:val="0"/>
          <w:caps w:val="0"/>
          <w:color w:val="333333"/>
          <w:spacing w:val="0"/>
          <w:sz w:val="24"/>
          <w:szCs w:val="24"/>
          <w:bdr w:val="none" w:color="auto" w:sz="0" w:space="0"/>
          <w:shd w:val="clear" w:fill="FFFFFF"/>
        </w:rPr>
        <w:t>国办函〔</w:t>
      </w:r>
      <w:r>
        <w:rPr>
          <w:rFonts w:hint="eastAsia" w:ascii="楷体" w:hAnsi="楷体" w:eastAsia="楷体" w:cs="楷体"/>
          <w:i w:val="0"/>
          <w:caps w:val="0"/>
          <w:color w:val="333333"/>
          <w:spacing w:val="0"/>
          <w:sz w:val="24"/>
          <w:szCs w:val="24"/>
          <w:bdr w:val="none" w:color="auto" w:sz="0" w:space="0"/>
          <w:shd w:val="clear" w:fill="FFFFFF"/>
        </w:rPr>
        <w:t>2017〕84号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仿宋" w:hAnsi="仿宋" w:eastAsia="仿宋" w:cs="仿宋"/>
          <w:i w:val="0"/>
          <w:caps w:val="0"/>
          <w:color w:val="auto"/>
          <w:spacing w:val="0"/>
          <w:sz w:val="28"/>
          <w:szCs w:val="28"/>
          <w:u w:val="none"/>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工作部际联席会议各成员单位：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反恐怖融资、反逃税（以下统称“三反”）监管体制机制是建设中国特色社会主义法治体系和现代金融监管体系的重要内容，是推进国家治理体系和治理能力现代化、维护经济社会安全稳定的重要保障，是参与全球治理、扩大金融业双向开放的重要手段。</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法公布实施以来，我国“三反”监管体制机制建设取得重大进展，工作成效明显，与国际通行标准基本保持一致。同时也要看到，相关领域仍然存在一些突出矛盾和问题，主要是监管制度尚不健全、协调合作机制仍不顺畅、跨部门数据信息共享程度不高、履行</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义务的机构（以下简称</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义务机构）履职能力不足、国际参与度和话语权与我国国际地位不相称等。为深入持久推进“三反”监管体制机制建设，完善“三反”监管措施，经国务院同意，现提出如下意见。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全面贯彻党的十八大和十八届三中、四中、五中、六中全会精神，以邓小平理论、“三个代表”重要思想、科学发展观为指导，深入贯彻习近平总书记系列重要讲话精神和治国理政新理念新思想新战略，认真落实党中央、国务院决策部署，坚持总体国家安全观，遵循推进国家治理体系和治理能力现代化的要求，完善“三反”监管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坚持问题导向，发挥工作合力。进一步解放思想，从基本国情和实际工作需要出发，深入研究、有效解决“三反”监管体制机制存在的问题。</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税务机关、公安机关要切实履职，国务院银行业、证券、保险监督管理机构及其他相关单位要发挥工作积极性，形成“三反”合力。探索建立以金融情报为纽带、以资金监测为手段、以数据信息共享为基础、符合国家治理需要的“三反”监管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坚持防控为本，有效化解风险。开展全面科学的风险评估，根据风险水平和分布进一步优化监管资源配置，强化高风险领域监管。同时，不断优化风险评估机制和监测分析系统，健全风险预防体系，有效防控洗钱、恐怖融资和逃税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坚持立足国情，为双向开放提供服务保障。根据国内洗钱、恐怖融资和逃税风险实际情况，逐步建立健全“三反”法律制度和监管规则。根据有关国际条约或者按照平等互利原则开展国际合作。忠实履行我国应当承担的国际义务，严格执行国际标准，加强跨境监管合作，切实维护我国金融机构合法权益，为金融业双向开放保驾护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坚持依法行政，充分发挥</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义务机构主体作用。依法确定相关单位职责，确保各司其职，主动作为，严控风险。重视和发挥</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义务机构在预防洗钱、恐怖融资和逃税方面的“第一道防线”作用。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（三）目标要求。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到2020年，初步形成适应社会主义市场经济要求、适合中国国情、符合国际标准的“三反”法律法规体系，建立职责清晰、权责对等、配合有力的“三反”监管协调合作机制，有效防控洗钱、恐怖融资和逃税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二、健全工作机制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（四）加强统筹协调，完善组织机制。进一步完善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工作部际联席会议制度，统筹“三反”监管工作。以</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工作部际联席会议为依托，强化部门间“三反”工作组织协调机制，制定整体战略、重要政策和措施，推动贯彻落实，指导“三反”领域国际合作，加强监管合作。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（五）研究设计洗钱和恐怖融资风险评估体系，建立</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和反恐怖融资战略形成机制。积极发挥风险评估在发现问题、完善体制机制、配置资源方面的基础性作用，开展风险导向的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和反恐怖融资战略研究。建立国家层面的洗钱和恐怖融资风险评估指标体系和评估机制，成立由</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税务机关、公安机关、国家安全机关、司法机关以及国务院银行业、证券、保险监督管理机构和其他行政机关组成的洗钱和恐怖融资风险评估工作组，定期开展洗钱和恐怖融资风险评估工作。以风险评估发现的问题为导向，制定并定期更新</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和反恐怖融资战略，确定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和反恐怖融资工作的阶段性目标、主要任务和重大举措，明确任务分工，加大高风险领域</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监管力度。建立多层次评估结果运用机制，由相关单位和</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义务机构根据评估结果有针对性地完善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和反恐怖融资工作，提升资源配置效率，提高风险防控有效性。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（六）强化线索移送和案件协查，优化打击犯罪合作机制。加强</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行政主管部门、税务机关与监察机关、侦查机关、行政执法机关间的沟通协调，进一步完善可疑交易线索合作机制，加强情报会商和信息反馈机制，分析洗钱、恐怖融资和逃税的形势与趋势，不断优化</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调查的策略、方法和技术。</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行政主管部门要加强可疑交易线索移送和案件协查工作，相关单位要加强对线索使用查处情况的及时反馈，形成打击洗钱、恐怖融资和逃税的合力，维护金融秩序和社会稳定。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（七）加强监管协调，健全监管合作机制。在行业监管规则中嵌入</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监管要求，构建涵盖事前、事中、事后的完整监管链条。充分发挥</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工作部际联席会议作用，加强</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行政主管部门和金融监管部门之间的协调，完善监管制度、政策和措施，开展联合监管行动，共享监管信息，协调跨境监管合作。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八）依法使用政务数据，健全数据信息共享机制。以依法合规为前提、资源整合为目标，探索研究“三反”数据信息共享标准和统计指标体系，明确相关单位的数据提供责任和数据使用权限。稳步推进数据信息共享机制建设，既要严格依法行政，保护商业秘密和个人隐私，又要推进相关数据库建设，鼓励各方参与共享。建立相关单位间的电子化网络，为实现安全、高效的数据信息共享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（九）优化监管资源配置，研究完善监管资源保障机制。按照金融领域全覆盖、特定非金融行业高风险领域重点监管的目标，适时扩大</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、反恐怖融资监管范围。优化监管资源配置与使用，统筹考虑“三反”监管资源保障问题，为“三反”监管提供充足人力物力。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三、完善法律制度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十）推动研究完善相关刑事立法，修改惩治洗钱犯罪和恐怖融资犯罪相关规定。按照我国参加的国际公约和明确承诺执行的国际标准要求，研究扩大洗钱罪的上游犯罪范围，将上游犯罪本犯纳入洗钱罪的主体范围。对照国际公约要求，根据我国反恐实际需要，推动逐步完善有关恐怖融资犯罪的刑事立法，加强司法解释工作。研究建立相关司法工作激励机制，提升</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工作追偿效果。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十一）明确执行联合国安理会反恐怖融资相关决议的程序。建立定向金融制裁名单的认定发布制度，明确相关单位在名单提交、审议、发布、监督执行、除名等方面的职责分工。完善和细化各行政主管部门、金融监管部门和</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义务机构执行联合国安理会反恐怖融资决议要求的程序规定和监管措施，进一步明确资产冻结时效、范围、程序、善意第三人保护及相关法律责任，保证联合国安理会相关决议执行时效。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（十二）加强特定非金融机构风险监测，探索建立特定非金融机构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和反恐怖融资监管制度。加强</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税务机关与特定非金融行业主管部门间的协调配合，密切关注非金融领域的洗钱、恐怖融资和逃税风险变化情况，对高风险行业开展风险评估，研究分析行业洗钱、恐怖融资和逃税风险分布及发展趋势，提出“三反”监管政策建议。对于</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国际标准明确提出要求的房地产中介、贵金属和珠宝玉石</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销售</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、公司服务等行业及其他存在较高风险的特定非金融行业，逐步建立</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和反恐怖融资监管制度。按照“一业一策”原则，由</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行政主管部门会同特定非金融行业主管部门发布特定行业的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和反恐怖融资监管制度，根据行业监管现状、被监管机构经营特点等确定行业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和反恐怖融资监管模式。积极发挥行业协会和自律组织的作用，指导行业协会制定本行业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和反恐怖融资工作指引。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（十三）加强监管政策配套，健全风险防控制度。研究建立各监管部门对新成立</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义务机构、非营利组织及其董事、监事和高级管理人员的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背景审查制度，严格审核发起人、股东、实际控制人、最终受益人和董事、监事、高级管理人员背景，审查资金来源和渠道，从源头上防止不法分子通过创设组织机构进行洗钱、恐怖融资和逃税活动。研究各类无记名可转让有价证券的洗钱风险以及需纳入监管的重点，研究无记名可转让有价证券价值甄别和真伪核验技术，明确</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行政主管部门与海关监管分工，推动对跨境携带无记名可转让有价证券的监管及通报制度尽快出台。制定海关向</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行政主管部门、公安机关、国家安全机关通报跨境携带现金信息的具体程序，完善跨境异常资金监测制度。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四、健全预防措施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（十四）建立健全防控风险为本的监管机制，引导</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义务机构有效化解风险。以有效防控风险为目标，持续优化</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监管政策框架，合理确定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监管风险容忍度，建立健全监管政策传导机制，督促、引导、激励</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义务机构积极主动加强洗钱和恐怖融资风险管理，充分发挥其在预防洗钱、恐怖融资和逃税方面的“第一道防线”作用。综合运用</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监管政策工具，推行分类监管，完善风险预警和应急处置机制，切实强化对高风险市场、高风险业务和高风险机构的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（十五）强化法人监管措施，提升监管工作效率。</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行政主管部门和国务院银行业、证券、保险监督管理机构要加强</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监管，以促进</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义务机构自我管理、自主管理风险为目标，逐步建立健全法人监管框架。围绕法人机构和分支机构、集团公司和子公司在风险管理中的不同定位和功能，对</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监管政策适度分层分类。加强</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义务机构总部内控机制要求，强化董事、监事和高级管理人员责任，督促</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义务机构提高履行</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义务的执行力。探索建立与法人监管相适应的监管分工合作机制，搭建满足法人监管需要的技术平台，逐步实现</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监管信息跨区域共享。在严格遵守保密规定的前提下，研究建立</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义务机构之间的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工作信息交流平台和交流机制。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（十六）健全监测分析体系，提升监测分析水平。不断拓宽</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监测分析数据信息来源，依法推动数据信息在相关单位间的双向流动和共享。强化</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监测分析工作的组织协调，有针对性地做好对重点领域、重点地区、重点人群的监测分析工作。不断延伸</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监管触角，将相关单位关于可疑交易报告信息使用情况的反馈信息和评价意见，作为</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行政主管部门开展</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义务机构可疑交易报告评价工作的重要依据。丰富非现场监管政策工具，弥补书面审查工作的不足。发挥会计师事务所、律师事务所等专业服务机构在</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监测预警和依法处置中的积极作用，研究专业服务机构有关</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的制度措施。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（十七）鼓励创新和坚守底线并重，妥善应对伴随新业务和新业态出现的风险。建立健全</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义务机构洗钱和恐怖融资风险自评估制度，对新产品、新业务、新技术、新渠道产生的洗钱和恐怖融资风险自主进行持续识别和评估，动态监测市场风险变化，完善有关</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监管要求。强化</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义务机构自主管理风险的责任，</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义务机构推出新产品、新业务前，须开展洗钱和恐怖融资风险自评估，并按照风险评估结果采取有效的风险防控措施。鼓励</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义务机构利用大数据、云计算等新技术提升</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和反恐怖融资工作有效性。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（十八）完善跨境异常资金监控机制，预防打击跨境金融犯罪活动。以加强异常交易监测为切入点，综合运用外汇交易监测、跨境人民币交易监测和</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资金交易监测等信息，及时发现跨境洗钱和恐怖融资风险。遵循</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国际标准有关支付清算透明度的要求，指导金融机构加强风险管理，增强跨境人民币清算体系的“三反”监测预警功能，维护人民币支付清算体系的良好声誉，降低金融机构跨境业务风险。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（十九）建立健全培训教育机制，培养建设专业人才队伍。建立全面覆盖各类</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培训教育机制，提升相关人员</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工作水平。积极鼓励创新</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培训教育形式，充分利用现代科技手段扩大受众范围，加大对基层人员的教育培训力度。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五、严惩违法犯罪活动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十）有效整合稽查资源，严厉打击涉税违法犯罪。建立健全随机抽查制度和案源管理制度，增强稽查质效。推行风险管理导向下的定向稽查模式，增强稽查的精准性和震慑力。防范和打击税基侵蚀及利润转移。在全国范围内开展跨部门、跨区域专项打击行动，联合查处一批骗取出口退税和虚开增值税专用发票重大案件，摧毁一批职业化犯罪团伙和网络，严惩一批违法犯罪企业和人员，挽回国家税款损失，有效遏制骗取出口退税和虚开增值税专用发票违法犯罪活动高发多发势头，维护国家税收秩序和税收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（二十一）建立打击关税违法犯罪活动合作机制。加强</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行政主管部门与海关缉私部门的协作配合，合力打击偷逃关税违法犯罪活动。</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要与海关缉私部门联合开展有关偷逃关税非法资金流动特征模型的研究，提升对偷逃关税违法犯罪资金线索的监测分析能力，及时向海关缉私部门通报；会同国务院银行业监督管理机构积极协助海关缉私部门打击偷逃关税违法犯罪活动资金交易，扩大打击偷逃关税违法犯罪活动成果，形成打击合力。海关缉私部门要及时将工作中发现的洗钱活动线索通报</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行政主管部门及相关有权机关，积极协助</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行政主管部门及相关有权机关开展工作。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（二十二）加大</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调查工作力度，建立健全洗钱类型分析工作机制。进一步规范</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调查工作程序，完善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调查流程，优化调查手段，加强可疑交易线索分析研判，加强</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调查和线索移送，积极配合有权机关的协查请求，不断增强</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调查工作实效。加强洗钱类型分析和风险提示，指导</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义务机构开展洗钱类型分析，及时向</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义务机构发布洗钱风险提示，督促</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义务机构加强风险预警。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六、深化国际合作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（二十三）做好</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和反恐怖融资互评估，树立良好国际形象。切实履行成员义务，积极做好金融行动特别工作组（FATF）</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和反恐怖融资互评估。将国际组织评估作为完善和改进</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工作的重要契机，组织动员相关单位和</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义务机构，严格对照</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国际标准，结合我国实际情况，切实提高</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工作合规性和有效性。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（二十四）深化</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国际合作，促进我国总体战略部署顺利实施。进一步深入参与</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国际标准研究、制定和监督执行，积极参与</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国际（区域）组织内部治理改革和重大决策，提升我国在</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国际（区域）组织中的话语权和影响力。继续加强</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双边交流与合作，推进中美</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和反恐怖融资监管合作。建立与部分重点国家（地区）的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监管合作机制，督促指导中资金融机构及其海外分支机构提升</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工作意识和水平，维护其合法权益。配合“一带一路”倡议，做好与周边国家（地区）的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交流与合作。加强沟通协调，稳步推进加入埃格蒙特集团相关工作。利用国际金融情报交流平台，拓展</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情报渠道。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十五）深化反逃税国际合作，维护我国税收权益。深度参与二十国集团税制改革成果转化，积极参与国际税收规则制定，积极发出中国声音，提出中国方案，贡献中国智慧，切实提升中国税务话语权。加强双多边税收合作，充分发挥国际税收信息交换的作用，提高税收透明度，严厉打击国际逃避税，充分发挥反逃避税对</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的积极作用，同时运用好</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机制，不断提高反逃避税的精准度。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七、创造良好社会氛围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（二十六）加强自律管理，充分发挥自律组织积极作用。各主管部门要指导相关行业协会积极参与“三反”工作，制定</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自律规则和工作指引，加强自律管理，强化</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义务机构守法、诚信、自律意识，推动</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义务机构积极参与和配合“三反”工作，促进</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义务机构之间交流信息和经验，营造积极健康的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合规环境。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十七）持续开展宣传教育，提升社会公众参与配合意识。建立常态化的“三反”宣传教育机制，向社会公众普及“三反”基本常识，提示风险，提高社会公众自我保护能力。采取灵活多样的形式开展宣传教育，提升社会公众“三反”意识，增强其主动配合“三反”工作的意愿，为开展“三反”工作营造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国务院办公厅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2017年8月29日</w:t>
      </w:r>
    </w:p>
    <w:p>
      <w:pPr>
        <w:rPr>
          <w:rFonts w:hint="eastAsia" w:ascii="仿宋" w:hAnsi="仿宋" w:eastAsia="仿宋" w:cs="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D1085"/>
    <w:rsid w:val="5198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章节标题"/>
    <w:basedOn w:val="2"/>
    <w:next w:val="1"/>
    <w:uiPriority w:val="0"/>
    <w:pPr>
      <w:jc w:val="center"/>
    </w:pPr>
    <w:rPr>
      <w:rFonts w:eastAsia="黑体" w:asciiTheme="minorAscii" w:hAnsiTheme="minorAscii"/>
      <w:b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lxt</cp:lastModifiedBy>
  <dcterms:modified xsi:type="dcterms:W3CDTF">2020-05-15T06:52:27Z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