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黑体" w:hAnsi="黑体" w:eastAsia="黑体" w:cs="黑体"/>
          <w:color w:val="3E3E3E"/>
          <w:spacing w:val="8"/>
          <w:sz w:val="24"/>
          <w:szCs w:val="24"/>
          <w:shd w:val="clear" w:fill="FFFFFF"/>
          <w:lang w:val="en-US" w:eastAsia="zh-CN"/>
        </w:rPr>
      </w:pPr>
      <w:r>
        <w:rPr>
          <w:rFonts w:hint="eastAsia" w:ascii="黑体" w:hAnsi="黑体" w:eastAsia="黑体" w:cs="黑体"/>
          <w:color w:val="3E3E3E"/>
          <w:spacing w:val="8"/>
          <w:sz w:val="24"/>
          <w:szCs w:val="24"/>
          <w:shd w:val="clear" w:fill="FFFFFF"/>
          <w:lang w:val="en-US" w:eastAsia="zh-CN"/>
        </w:rPr>
        <w:t>类型：</w:t>
      </w:r>
      <w:r>
        <w:rPr>
          <w:rFonts w:hint="eastAsia" w:ascii="黑体" w:hAnsi="黑体" w:eastAsia="黑体" w:cs="黑体"/>
          <w:color w:val="3E3E3E"/>
          <w:spacing w:val="8"/>
          <w:sz w:val="24"/>
          <w:szCs w:val="24"/>
          <w:shd w:val="clear" w:fill="FFFFFF"/>
          <w:lang w:val="en-US" w:eastAsia="zh-CN"/>
        </w:rPr>
        <w:t>操纵期货市场，地下钱庄跨境洗钱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黑体" w:hAnsi="黑体" w:eastAsia="黑体" w:cs="黑体"/>
          <w:color w:val="3E3E3E"/>
          <w:spacing w:val="8"/>
          <w:sz w:val="24"/>
          <w:szCs w:val="24"/>
          <w:shd w:val="clear" w:fill="FFFFFF"/>
          <w:lang w:val="en-US" w:eastAsia="zh-CN"/>
        </w:rPr>
      </w:pPr>
      <w:r>
        <w:rPr>
          <w:rFonts w:hint="eastAsia" w:ascii="黑体" w:hAnsi="黑体" w:eastAsia="黑体" w:cs="黑体"/>
          <w:color w:val="3E3E3E"/>
          <w:spacing w:val="8"/>
          <w:sz w:val="24"/>
          <w:szCs w:val="24"/>
          <w:shd w:val="clear" w:fill="FFFFFF"/>
          <w:lang w:val="en-US" w:eastAsia="zh-CN"/>
        </w:rPr>
        <w:t>时间</w:t>
      </w:r>
      <w:r>
        <w:rPr>
          <w:rFonts w:hint="eastAsia" w:ascii="黑体" w:hAnsi="黑体" w:eastAsia="黑体" w:cs="黑体"/>
          <w:color w:val="3E3E3E"/>
          <w:spacing w:val="8"/>
          <w:sz w:val="24"/>
          <w:szCs w:val="24"/>
          <w:shd w:val="clear" w:fill="FFFFFF"/>
          <w:lang w:val="en-US" w:eastAsia="zh-CN"/>
        </w:rPr>
        <w:t>：2010年—2015年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黑体" w:hAnsi="黑体" w:eastAsia="黑体" w:cs="黑体"/>
          <w:color w:val="3E3E3E"/>
          <w:spacing w:val="8"/>
          <w:sz w:val="24"/>
          <w:szCs w:val="24"/>
          <w:shd w:val="clear" w:fill="FFFFFF"/>
          <w:lang w:val="en-US" w:eastAsia="zh-CN"/>
        </w:rPr>
      </w:pPr>
      <w:r>
        <w:rPr>
          <w:rFonts w:hint="eastAsia" w:ascii="黑体" w:hAnsi="黑体" w:eastAsia="黑体" w:cs="黑体"/>
          <w:color w:val="3E3E3E"/>
          <w:spacing w:val="8"/>
          <w:sz w:val="24"/>
          <w:szCs w:val="24"/>
          <w:shd w:val="clear" w:fill="FFFFFF"/>
          <w:lang w:val="en-US" w:eastAsia="zh-CN"/>
        </w:rPr>
        <w:t>地点：</w:t>
      </w:r>
      <w:r>
        <w:rPr>
          <w:rFonts w:hint="eastAsia" w:ascii="黑体" w:hAnsi="黑体" w:eastAsia="黑体" w:cs="黑体"/>
          <w:color w:val="3E3E3E"/>
          <w:spacing w:val="8"/>
          <w:sz w:val="24"/>
          <w:szCs w:val="24"/>
          <w:shd w:val="clear" w:fill="FFFFFF"/>
          <w:lang w:val="en-US" w:eastAsia="zh-CN"/>
        </w:rPr>
        <w:t>上海，江苏，香港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黑体" w:hAnsi="黑体" w:eastAsia="黑体" w:cs="黑体"/>
          <w:color w:val="3E3E3E"/>
          <w:spacing w:val="8"/>
          <w:sz w:val="24"/>
          <w:szCs w:val="24"/>
          <w:shd w:val="clear" w:fill="FFFFFF"/>
          <w:lang w:val="en-US" w:eastAsia="zh-CN"/>
        </w:rPr>
      </w:pPr>
      <w:r>
        <w:rPr>
          <w:rFonts w:hint="eastAsia" w:ascii="黑体" w:hAnsi="黑体" w:eastAsia="黑体" w:cs="黑体"/>
          <w:color w:val="3E3E3E"/>
          <w:spacing w:val="8"/>
          <w:sz w:val="24"/>
          <w:szCs w:val="24"/>
          <w:shd w:val="clear" w:fill="FFFFFF"/>
          <w:lang w:val="en-US" w:eastAsia="zh-CN"/>
        </w:rPr>
        <w:t>金额：</w:t>
      </w:r>
      <w:r>
        <w:rPr>
          <w:rFonts w:hint="eastAsia" w:ascii="黑体" w:hAnsi="黑体" w:eastAsia="黑体" w:cs="黑体"/>
          <w:color w:val="3E3E3E"/>
          <w:spacing w:val="8"/>
          <w:sz w:val="24"/>
          <w:szCs w:val="24"/>
          <w:shd w:val="clear" w:fill="FFFFFF"/>
          <w:lang w:val="en-US" w:eastAsia="zh-CN"/>
        </w:rPr>
        <w:t>涉案金额20亿元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黑体" w:hAnsi="黑体" w:eastAsia="黑体" w:cs="黑体"/>
          <w:color w:val="3E3E3E"/>
          <w:spacing w:val="8"/>
          <w:sz w:val="24"/>
          <w:szCs w:val="24"/>
          <w:shd w:val="clear" w:fill="FFFFFF"/>
        </w:rPr>
      </w:pPr>
      <w:r>
        <w:rPr>
          <w:rFonts w:hint="eastAsia" w:ascii="黑体" w:hAnsi="黑体" w:eastAsia="黑体" w:cs="黑体"/>
          <w:color w:val="3E3E3E"/>
          <w:spacing w:val="8"/>
          <w:sz w:val="24"/>
          <w:szCs w:val="24"/>
          <w:shd w:val="clear" w:fill="FFFFFF"/>
          <w:lang w:val="en-US" w:eastAsia="zh-CN"/>
        </w:rPr>
        <w:t>案情介绍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2015年11月，经过三个多月的缜密侦查，公安部指挥上海公安机关成功侦破一起以贸易公司为掩护，境外遥控指挥、境内实施交易，作案手段隐蔽、非法获利巨大的涉嫌操纵期货市场犯罪案件。伊世顿国际贸易有限公司总经理高燕、业务拓展经理梁泽中以及华鑫期货公司技术总监金文献等犯罪嫌疑人已被依法批准逮捕，涉案资金已被公安机关依法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专案组查明，伊世顿公司系外籍人员GeorgyZarya（音译扎亚）、AntonMurashov（音译安东）在香港各自注册成立一家公司后，于2012年9月用两家香港公司名义在江苏省张家港保税区以美元出资注册成立贸易公司。扎亚为伊世顿公司法定代表人，安东负责技术管理。两人在公司成立前分别供职于欧洲的投资银行和期货公司，从事证券期货交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受扎亚、安东指使，为规避中国金融期货交易所相关规定的限制，高燕先后向亲友借来个人或特殊法人期货账户31个，供伊世顿公司组成账户组进行交易。伊世顿公司以贸易公司为名，隐瞒实际控制的期货账户数量，以50万美元注册资本金以及他人出借的360万元人民币作为初始资金，在中国参与股指期货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同时，安东及其境外技术团队设计研发出一套高频程序化交易软件，远程植入伊世顿公司托管在中国金融期货交易所的服务器，以此操控、管理伊世顿账户组的交易行为。伊世顿账户组通过高频程序化交易软件自动批量下单、快速下单，申报价格明显偏离市场最新价格，实现包括自买自卖（成交量达8110手、113亿元人民币）在内的大量交易，利用保证金杠杆比例等交易规则，以较小的资金投入反复开仓、平仓，使盈利在短期内快速放大，非法获利高达20多亿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监管机构认为，伊世顿公司的期货交易行为扩大了日内交易价格波幅，与市场价格走势存在关联性，影响了当时的市场交易价格和正常交易秩序。公安机关认为，伊世顿公司异常交易行为符合操纵股指期货市场的特征，涉嫌操纵期货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侦查还表明，高燕将巨额非法获利中的近2亿元人民币通过犯罪嫌疑人邱某（另案处理）经营的“地下钱庄”转移出境，交给安东等境外人员。2015年1月，高燕受扎亚指使，给予华鑫期货公司技术总监金文献100多万元人民币作为好处费。金文献在全面负责伊世顿公司与交易所、期货商的对接工作中，隐瞒伊世顿公司实际控制的期货账户数量，并协助伊世顿公司对高频程序化交易软件进行技术伪装，进而违规进场交易。金文献还使用其银行账户帮助伊世顿公司转移资金。</w:t>
      </w:r>
    </w:p>
    <w:p>
      <w:pPr>
        <w:keepNext w:val="0"/>
        <w:keepLines w:val="0"/>
        <w:widowControl/>
        <w:suppressLineNumbers w:val="0"/>
        <w:jc w:val="left"/>
        <w:rPr>
          <w:rFonts w:hint="eastAsia" w:ascii="黑体" w:hAnsi="黑体" w:eastAsia="黑体" w:cs="黑体"/>
          <w:color w:val="3E3E3E"/>
          <w:spacing w:val="8"/>
          <w:kern w:val="0"/>
          <w:sz w:val="24"/>
          <w:szCs w:val="24"/>
          <w:shd w:val="clear" w:fill="FFFFFF"/>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黑体" w:hAnsi="黑体" w:eastAsia="黑体" w:cs="黑体"/>
          <w:color w:val="3E3E3E"/>
          <w:spacing w:val="8"/>
          <w:kern w:val="0"/>
          <w:sz w:val="24"/>
          <w:szCs w:val="24"/>
          <w:shd w:val="clear" w:fill="FFFFFF"/>
          <w:lang w:val="en-US" w:eastAsia="zh-CN" w:bidi="ar"/>
        </w:rPr>
        <w:t>分析：下单快怎么就非法了</w:t>
      </w:r>
      <w:r>
        <w:rPr>
          <w:rFonts w:hint="eastAsia" w:ascii="仿宋" w:hAnsi="仿宋" w:eastAsia="仿宋" w:cs="仿宋"/>
          <w:kern w:val="0"/>
          <w:sz w:val="24"/>
          <w:szCs w:val="24"/>
          <w:bdr w:val="none" w:color="auto" w:sz="0" w:space="0"/>
          <w:lang w:val="en-US" w:eastAsia="zh-CN" w:bidi="ar"/>
        </w:rPr>
        <w:br w:type="textWrapping"/>
      </w:r>
      <w:r>
        <w:rPr>
          <w:rFonts w:hint="eastAsia" w:ascii="仿宋" w:hAnsi="仿宋" w:eastAsia="仿宋" w:cs="仿宋"/>
          <w:kern w:val="0"/>
          <w:sz w:val="24"/>
          <w:szCs w:val="24"/>
          <w:bdr w:val="none" w:color="auto" w:sz="0" w:space="0"/>
          <w:lang w:val="en-US" w:eastAsia="zh-CN" w:bidi="ar"/>
        </w:rPr>
        <w:br w:type="textWrapping"/>
      </w:r>
      <w:r>
        <w:rPr>
          <w:rFonts w:hint="eastAsia" w:ascii="仿宋" w:hAnsi="仿宋" w:eastAsia="仿宋" w:cs="仿宋"/>
          <w:spacing w:val="8"/>
          <w:kern w:val="0"/>
          <w:sz w:val="24"/>
          <w:szCs w:val="24"/>
          <w:bdr w:val="none" w:color="auto" w:sz="0" w:space="0"/>
          <w:lang w:val="en-US" w:eastAsia="zh-CN" w:bidi="ar"/>
        </w:rPr>
        <w:t>这起非法期货交易操纵案操作手段令人咋舌，那么，此次期货交易操纵案为何定义成非法交易呢？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84" w:lineRule="atLeast"/>
        <w:ind w:left="0" w:right="0" w:firstLine="0"/>
        <w:jc w:val="both"/>
        <w:rPr>
          <w:rFonts w:hint="eastAsia" w:ascii="仿宋" w:hAnsi="仿宋" w:eastAsia="仿宋" w:cs="仿宋"/>
          <w:color w:val="3E3E3E"/>
          <w:spacing w:val="8"/>
          <w:sz w:val="24"/>
          <w:szCs w:val="24"/>
        </w:rPr>
      </w:pPr>
      <w:r>
        <w:rPr>
          <w:rStyle w:val="6"/>
          <w:rFonts w:hint="eastAsia" w:ascii="仿宋" w:hAnsi="仿宋" w:eastAsia="仿宋" w:cs="仿宋"/>
          <w:color w:val="3E3E3E"/>
          <w:spacing w:val="8"/>
          <w:sz w:val="24"/>
          <w:szCs w:val="24"/>
          <w:bdr w:val="none" w:color="auto" w:sz="0" w:space="0"/>
          <w:shd w:val="clear" w:fill="FFFFFF"/>
        </w:rPr>
        <w:t>第一，交易资金的来源违规。</w:t>
      </w:r>
      <w:r>
        <w:rPr>
          <w:rFonts w:hint="eastAsia" w:ascii="仿宋" w:hAnsi="仿宋" w:eastAsia="仿宋" w:cs="仿宋"/>
          <w:color w:val="3E3E3E"/>
          <w:spacing w:val="8"/>
          <w:sz w:val="24"/>
          <w:szCs w:val="24"/>
          <w:bdr w:val="none" w:color="auto" w:sz="0" w:space="0"/>
          <w:shd w:val="clear" w:fill="FFFFFF"/>
        </w:rPr>
        <w:t>此次外籍犯罪人扎亚、安东在中国注册的伊世顿公司属于贸易公司，其日常运营资金属于贸易项下资金，而非资本项下资金，不应入市参与投资交易。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84" w:lineRule="atLeast"/>
        <w:ind w:left="0" w:right="0" w:firstLine="0"/>
        <w:jc w:val="both"/>
        <w:rPr>
          <w:rFonts w:hint="eastAsia" w:ascii="仿宋" w:hAnsi="仿宋" w:eastAsia="仿宋" w:cs="仿宋"/>
          <w:color w:val="3E3E3E"/>
          <w:spacing w:val="8"/>
          <w:sz w:val="24"/>
          <w:szCs w:val="24"/>
        </w:rPr>
      </w:pPr>
      <w:r>
        <w:rPr>
          <w:rStyle w:val="6"/>
          <w:rFonts w:hint="eastAsia" w:ascii="仿宋" w:hAnsi="仿宋" w:eastAsia="仿宋" w:cs="仿宋"/>
          <w:color w:val="3E3E3E"/>
          <w:spacing w:val="8"/>
          <w:sz w:val="24"/>
          <w:szCs w:val="24"/>
          <w:bdr w:val="none" w:color="auto" w:sz="0" w:space="0"/>
          <w:shd w:val="clear" w:fill="FFFFFF"/>
        </w:rPr>
        <w:t>第二，通过地下钱庄洗钱。</w:t>
      </w:r>
      <w:r>
        <w:rPr>
          <w:rFonts w:hint="eastAsia" w:ascii="仿宋" w:hAnsi="仿宋" w:eastAsia="仿宋" w:cs="仿宋"/>
          <w:color w:val="3E3E3E"/>
          <w:spacing w:val="8"/>
          <w:sz w:val="24"/>
          <w:szCs w:val="24"/>
          <w:bdr w:val="none" w:color="auto" w:sz="0" w:space="0"/>
          <w:shd w:val="clear" w:fill="FFFFFF"/>
        </w:rPr>
        <w:t>她们通过地下钱庄等非法方式将获利资金转移出境，试图躲开外汇管理局的监管。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84" w:lineRule="atLeast"/>
        <w:ind w:left="0" w:right="0" w:firstLine="0"/>
        <w:jc w:val="both"/>
        <w:rPr>
          <w:rFonts w:hint="eastAsia" w:ascii="仿宋" w:hAnsi="仿宋" w:eastAsia="仿宋" w:cs="仿宋"/>
          <w:color w:val="3E3E3E"/>
          <w:spacing w:val="8"/>
          <w:sz w:val="24"/>
          <w:szCs w:val="24"/>
        </w:rPr>
      </w:pPr>
      <w:r>
        <w:rPr>
          <w:rStyle w:val="6"/>
          <w:rFonts w:hint="eastAsia" w:ascii="仿宋" w:hAnsi="仿宋" w:eastAsia="仿宋" w:cs="仿宋"/>
          <w:color w:val="3E3E3E"/>
          <w:spacing w:val="8"/>
          <w:sz w:val="24"/>
          <w:szCs w:val="24"/>
          <w:bdr w:val="none" w:color="auto" w:sz="0" w:space="0"/>
          <w:shd w:val="clear" w:fill="FFFFFF"/>
        </w:rPr>
        <w:t>第三，市场裸接入交易。</w:t>
      </w:r>
      <w:r>
        <w:rPr>
          <w:rFonts w:hint="eastAsia" w:ascii="仿宋" w:hAnsi="仿宋" w:eastAsia="仿宋" w:cs="仿宋"/>
          <w:color w:val="3E3E3E"/>
          <w:spacing w:val="8"/>
          <w:sz w:val="24"/>
          <w:szCs w:val="24"/>
          <w:bdr w:val="none" w:color="auto" w:sz="0" w:space="0"/>
          <w:shd w:val="clear" w:fill="FFFFFF"/>
        </w:rPr>
        <w:t>伊世顿公司伙同期货公司，绕开官方API接口，直接将期货高频交易系统连接交易所。我国规定投资者必须通过交易所API接口间接接入交易所，目的在于半段投资者是否违规或者交易异常，从而保证市场的公平性，但需要耗费一定的时间。因此，直接接入交易所不但可以躲避交易所的监管，还可以加快交易的频率，抢占先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84" w:lineRule="atLeast"/>
        <w:ind w:left="0" w:right="0" w:firstLine="0"/>
        <w:jc w:val="both"/>
        <w:rPr>
          <w:rFonts w:hint="eastAsia" w:ascii="仿宋" w:hAnsi="仿宋" w:eastAsia="仿宋" w:cs="仿宋"/>
          <w:color w:val="3E3E3E"/>
          <w:spacing w:val="8"/>
          <w:sz w:val="24"/>
          <w:szCs w:val="24"/>
        </w:rPr>
      </w:pPr>
      <w:r>
        <w:rPr>
          <w:rStyle w:val="6"/>
          <w:rFonts w:hint="eastAsia" w:ascii="仿宋" w:hAnsi="仿宋" w:eastAsia="仿宋" w:cs="仿宋"/>
          <w:color w:val="3E3E3E"/>
          <w:spacing w:val="8"/>
          <w:sz w:val="24"/>
          <w:szCs w:val="24"/>
          <w:bdr w:val="none" w:color="auto" w:sz="0" w:space="0"/>
          <w:shd w:val="clear" w:fill="FFFFFF"/>
        </w:rPr>
        <w:t>第四，没有申报关联账户。</w:t>
      </w:r>
      <w:r>
        <w:rPr>
          <w:rFonts w:hint="eastAsia" w:ascii="仿宋" w:hAnsi="仿宋" w:eastAsia="仿宋" w:cs="仿宋"/>
          <w:color w:val="3E3E3E"/>
          <w:spacing w:val="8"/>
          <w:sz w:val="24"/>
          <w:szCs w:val="24"/>
          <w:bdr w:val="none" w:color="auto" w:sz="0" w:space="0"/>
          <w:shd w:val="clear" w:fill="FFFFFF"/>
        </w:rPr>
        <w:t>关联账户及相互之间建立联系的账户，可以互相即时转账、资金共享等。伊世顿公司在期货市场采取高频交易策略，一共建立了30个交易关联账户组成账户组进行交易，违反了我国金融期货交易所的规定。同时，在账户组进行交易时，平均下单速度达0.03秒一笔，一秒内最多下单31笔，造成了市场交易的不公平。</w:t>
      </w:r>
    </w:p>
    <w:p>
      <w:pPr>
        <w:keepNext w:val="0"/>
        <w:keepLines w:val="0"/>
        <w:widowControl/>
        <w:suppressLineNumbers w:val="0"/>
        <w:spacing w:after="240" w:afterAutospacing="0"/>
        <w:jc w:val="left"/>
        <w:rPr>
          <w:rFonts w:hint="eastAsia" w:ascii="仿宋" w:hAnsi="仿宋" w:eastAsia="仿宋" w:cs="仿宋"/>
          <w:kern w:val="0"/>
          <w:sz w:val="24"/>
          <w:szCs w:val="24"/>
          <w:bdr w:val="none" w:color="auto" w:sz="0" w:space="0"/>
          <w:lang w:val="en-US" w:eastAsia="zh-CN" w:bidi="ar"/>
        </w:rPr>
      </w:pPr>
      <w:r>
        <w:rPr>
          <w:rStyle w:val="6"/>
          <w:rFonts w:hint="eastAsia" w:ascii="仿宋" w:hAnsi="仿宋" w:eastAsia="仿宋" w:cs="仿宋"/>
          <w:kern w:val="0"/>
          <w:sz w:val="24"/>
          <w:szCs w:val="24"/>
          <w:bdr w:val="none" w:color="auto" w:sz="0" w:space="0"/>
          <w:lang w:val="en-US" w:eastAsia="zh-CN" w:bidi="ar"/>
        </w:rPr>
        <w:t>第五，自交易。</w:t>
      </w:r>
      <w:r>
        <w:rPr>
          <w:rFonts w:hint="eastAsia" w:ascii="仿宋" w:hAnsi="仿宋" w:eastAsia="仿宋" w:cs="仿宋"/>
          <w:kern w:val="0"/>
          <w:sz w:val="24"/>
          <w:szCs w:val="24"/>
          <w:bdr w:val="none" w:color="auto" w:sz="0" w:space="0"/>
          <w:lang w:val="en-US" w:eastAsia="zh-CN" w:bidi="ar"/>
        </w:rPr>
        <w:t>自交易可理解为“自买自卖”，例如Ａ账户买，Ｂ账户卖。在通常情况下，期货交易市场每秒过万亿的流动性使得自交易有时不可避免，我国规定每个账户日内交易不可超过５次，否则可视为非法交易。自交易犯罪并不罕见，例如，2010年英国期货交易员纳温得·辛格·萨劳曾据此造成关联闪电崩盘。</w:t>
      </w:r>
    </w:p>
    <w:p>
      <w:pPr>
        <w:rPr>
          <w:rFonts w:hint="eastAsia" w:ascii="黑体" w:hAnsi="黑体" w:eastAsia="黑体" w:cs="黑体"/>
          <w:color w:val="3E3E3E"/>
          <w:spacing w:val="8"/>
          <w:kern w:val="0"/>
          <w:sz w:val="24"/>
          <w:szCs w:val="24"/>
          <w:shd w:val="clear" w:fill="FFFFFF"/>
          <w:lang w:val="en-US" w:eastAsia="zh-CN" w:bidi="ar"/>
        </w:rPr>
      </w:pPr>
      <w:r>
        <w:rPr>
          <w:rFonts w:hint="eastAsia" w:ascii="黑体" w:hAnsi="黑体" w:eastAsia="黑体" w:cs="黑体"/>
          <w:color w:val="3E3E3E"/>
          <w:spacing w:val="8"/>
          <w:kern w:val="0"/>
          <w:sz w:val="24"/>
          <w:szCs w:val="24"/>
          <w:shd w:val="clear" w:fill="FFFFFF"/>
          <w:lang w:val="en-US" w:eastAsia="zh-CN" w:bidi="ar"/>
        </w:rPr>
        <w:br w:type="page"/>
      </w:r>
    </w:p>
    <w:p>
      <w:pPr>
        <w:keepNext w:val="0"/>
        <w:keepLines w:val="0"/>
        <w:widowControl/>
        <w:suppressLineNumbers w:val="0"/>
        <w:spacing w:after="240" w:afterAutospacing="0"/>
        <w:jc w:val="left"/>
        <w:rPr>
          <w:rFonts w:hint="eastAsia" w:ascii="仿宋" w:hAnsi="仿宋" w:eastAsia="仿宋" w:cs="仿宋"/>
          <w:sz w:val="24"/>
          <w:szCs w:val="24"/>
        </w:rPr>
      </w:pPr>
      <w:bookmarkStart w:id="0" w:name="_GoBack"/>
      <w:bookmarkEnd w:id="0"/>
      <w:r>
        <w:rPr>
          <w:rFonts w:hint="eastAsia" w:ascii="黑体" w:hAnsi="黑体" w:eastAsia="黑体" w:cs="黑体"/>
          <w:color w:val="3E3E3E"/>
          <w:spacing w:val="8"/>
          <w:kern w:val="0"/>
          <w:sz w:val="24"/>
          <w:szCs w:val="24"/>
          <w:shd w:val="clear" w:fill="FFFFFF"/>
          <w:lang w:val="en-US" w:eastAsia="zh-CN" w:bidi="ar"/>
        </w:rPr>
        <w:t>启示 ：反洗钱有利资本市场稳定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84" w:lineRule="atLeast"/>
        <w:ind w:left="0" w:right="0" w:firstLine="0"/>
        <w:jc w:val="both"/>
        <w:rPr>
          <w:rFonts w:hint="eastAsia" w:ascii="仿宋" w:hAnsi="仿宋" w:eastAsia="仿宋" w:cs="仿宋"/>
          <w:color w:val="3E3E3E"/>
          <w:spacing w:val="8"/>
          <w:sz w:val="24"/>
          <w:szCs w:val="24"/>
        </w:rPr>
      </w:pPr>
      <w:r>
        <w:rPr>
          <w:rFonts w:hint="eastAsia" w:ascii="仿宋" w:hAnsi="仿宋" w:eastAsia="仿宋" w:cs="仿宋"/>
          <w:color w:val="3E3E3E"/>
          <w:spacing w:val="8"/>
          <w:sz w:val="24"/>
          <w:szCs w:val="24"/>
          <w:bdr w:val="none" w:color="auto" w:sz="0" w:space="0"/>
          <w:shd w:val="clear" w:fill="FFFFFF"/>
        </w:rPr>
        <w:t>上海特大操纵期货市场洗钱案是一起将操纵市场非法所得洗到境外的典型案例，这里“地下钱庄”又变成了跨境洗钱的主要通道。</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地下钱庄已成为经济生活中的一颗“毒瘤”，对正常的金融秩序产生了极其严重的影响。2015年股市发生严重震荡，也与地下钱庄的违法犯罪活动有着一定的关系。我们必须采取强有力的措施，清除地下钱庄这颗“毒瘤”，堵塞地下钱庄洗钱通道，维护资本市场稳定和金融市场正常秩序。</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501055"/>
    <w:rsid w:val="49AD1085"/>
    <w:rsid w:val="6D2F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章节标题"/>
    <w:basedOn w:val="2"/>
    <w:next w:val="1"/>
    <w:uiPriority w:val="0"/>
    <w:pPr>
      <w:jc w:val="center"/>
    </w:pPr>
    <w:rPr>
      <w:rFonts w:eastAsia="黑体" w:asciiTheme="minorAscii" w:hAnsiTheme="minorAscii"/>
      <w:b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lxt</cp:lastModifiedBy>
  <dcterms:modified xsi:type="dcterms:W3CDTF">2020-05-22T05:31:53Z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